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291D93">
        <w:rPr>
          <w:rFonts w:ascii="Times New Roman" w:hAnsi="Times New Roman" w:cs="Times New Roman"/>
          <w:b/>
          <w:sz w:val="24"/>
          <w:szCs w:val="24"/>
        </w:rPr>
        <w:t>167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91D93">
        <w:rPr>
          <w:rFonts w:ascii="Times New Roman" w:hAnsi="Times New Roman" w:cs="Times New Roman"/>
          <w:b/>
          <w:sz w:val="24"/>
          <w:szCs w:val="24"/>
        </w:rPr>
        <w:t>дизельны</w:t>
      </w:r>
      <w:r w:rsidR="00291D93" w:rsidRPr="001830D4">
        <w:rPr>
          <w:rFonts w:ascii="Times New Roman" w:hAnsi="Times New Roman" w:cs="Times New Roman"/>
          <w:b/>
          <w:sz w:val="24"/>
          <w:szCs w:val="24"/>
        </w:rPr>
        <w:t>х насосов для модернизации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1830D4">
        <w:rPr>
          <w:rFonts w:ascii="Times New Roman" w:hAnsi="Times New Roman" w:cs="Times New Roman"/>
          <w:b/>
          <w:sz w:val="24"/>
          <w:szCs w:val="24"/>
        </w:rPr>
        <w:t>системы открытого дренажа Резервуарного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1830D4">
        <w:rPr>
          <w:rFonts w:ascii="Times New Roman" w:hAnsi="Times New Roman" w:cs="Times New Roman"/>
          <w:b/>
          <w:sz w:val="24"/>
          <w:szCs w:val="24"/>
        </w:rPr>
        <w:t>парка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КТК-Р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E62D1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должен включать (в том числе, но не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дизельных насосных агрегатов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агрегатов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 насосных агрегатов с указанием основных узлов и присоединительных размеров;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выполнения ШМР и ввода в эксплуатацию оборудования.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62D1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62D1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03581C" w:rsidP="008659C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1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</w:t>
            </w:r>
            <w:r w:rsidR="00E6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2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5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2D1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2D1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D1F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57A77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D60EBE-DFD6-42FA-A0A2-7FB5DC0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70</cp:revision>
  <cp:lastPrinted>2017-03-07T10:36:00Z</cp:lastPrinted>
  <dcterms:created xsi:type="dcterms:W3CDTF">2014-12-09T16:06:00Z</dcterms:created>
  <dcterms:modified xsi:type="dcterms:W3CDTF">2022-09-05T09:58:00Z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